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664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0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“Before</w:t>
      </w:r>
      <w:r>
        <w:rPr>
          <w:rFonts w:ascii="BankGothic Md BT" w:hAnsi="BankGothic Md BT" w:cs="BankGothic Md BT" w:eastAsia="BankGothic Md BT"/>
          <w:sz w:val="36"/>
          <w:szCs w:val="36"/>
        </w:rPr>
        <w:t> &amp;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 After”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4:1-6</w:t>
      </w:r>
      <w:r>
        <w:rPr>
          <w:rFonts w:ascii="BankGothic Lt BT"/>
        </w:rPr>
      </w:r>
    </w:p>
    <w:p>
      <w:pPr>
        <w:pStyle w:val="BodyText"/>
        <w:spacing w:line="240" w:lineRule="auto"/>
        <w:ind w:left="230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June 28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75" w:lineRule="auto"/>
        <w:ind w:left="275" w:right="164"/>
        <w:jc w:val="center"/>
      </w:pPr>
      <w:r>
        <w:rPr>
          <w:rFonts w:ascii="Garamond" w:hAnsi="Garamond" w:cs="Garamond" w:eastAsia="Garamond"/>
          <w:b/>
          <w:bCs/>
          <w:spacing w:val="-1"/>
        </w:rPr>
        <w:t>Big Idea:</w:t>
      </w:r>
      <w:r>
        <w:rPr>
          <w:rFonts w:ascii="Garamond" w:hAnsi="Garamond" w:cs="Garamond" w:eastAsia="Garamond"/>
          <w:b/>
          <w:bCs/>
        </w:rPr>
        <w:t> </w:t>
      </w:r>
      <w:r>
        <w:rPr>
          <w:spacing w:val="-1"/>
        </w:rPr>
        <w:t>Our</w:t>
      </w:r>
      <w:r>
        <w:rPr/>
        <w:t> (old</w:t>
      </w:r>
      <w:r>
        <w:rPr>
          <w:spacing w:val="-1"/>
        </w:rPr>
        <w:t> life)</w:t>
      </w:r>
      <w:r>
        <w:rPr/>
        <w:t> </w:t>
      </w:r>
      <w:r>
        <w:rPr>
          <w:spacing w:val="-1"/>
        </w:rPr>
        <w:t>“before” is</w:t>
      </w:r>
      <w:r>
        <w:rPr/>
        <w:t> </w:t>
      </w:r>
      <w:r>
        <w:rPr>
          <w:spacing w:val="-1"/>
        </w:rPr>
        <w:t>not</w:t>
      </w:r>
      <w:r>
        <w:rPr/>
        <w:t> compatible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our</w:t>
      </w:r>
      <w:r>
        <w:rPr/>
        <w:t> (new</w:t>
      </w:r>
      <w:r>
        <w:rPr>
          <w:spacing w:val="29"/>
        </w:rPr>
        <w:t> </w:t>
      </w:r>
      <w:r>
        <w:rPr>
          <w:spacing w:val="-1"/>
        </w:rPr>
        <w:t>life)</w:t>
      </w:r>
      <w:r>
        <w:rPr/>
        <w:t> “after”</w:t>
      </w:r>
      <w:r>
        <w:rPr>
          <w:spacing w:val="-1"/>
        </w:rPr>
        <w:t> </w:t>
      </w:r>
      <w:r>
        <w:rPr>
          <w:spacing w:val="-2"/>
        </w:rPr>
        <w:t>(Christ).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Arm</w:t>
      </w:r>
      <w:r>
        <w:rPr/>
        <w:t> </w:t>
      </w:r>
      <w:r>
        <w:rPr>
          <w:spacing w:val="-1"/>
        </w:rPr>
        <w:t>Yourselves</w:t>
      </w:r>
      <w:r>
        <w:rPr/>
        <w:t> </w:t>
      </w:r>
      <w:r>
        <w:rPr>
          <w:spacing w:val="-1"/>
        </w:rPr>
        <w:t>(1 Peter 4:1)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528" w:lineRule="auto" w:before="161"/>
        <w:ind w:left="935" w:right="826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 w:hAnsi="Garamond" w:cs="Garamond" w:eastAsia="Garamond"/>
          <w:spacing w:val="-1"/>
          <w:sz w:val="24"/>
          <w:szCs w:val="24"/>
        </w:rPr>
        <w:t>“Suffering</w:t>
      </w:r>
      <w:r>
        <w:rPr>
          <w:rFonts w:ascii="Garamond" w:hAnsi="Garamond" w:cs="Garamond" w:eastAsia="Garamond"/>
          <w:spacing w:val="-5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is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</w:rPr>
        <w:t>essential</w:t>
      </w:r>
      <w:r>
        <w:rPr>
          <w:rFonts w:ascii="Garamond" w:hAnsi="Garamond" w:cs="Garamond" w:eastAsia="Garamond"/>
          <w:spacing w:val="-4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</w:rPr>
        <w:t>to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z w:val="24"/>
          <w:szCs w:val="24"/>
        </w:rPr>
        <w:t>the</w:t>
      </w:r>
      <w:r>
        <w:rPr>
          <w:rFonts w:ascii="Garamond" w:hAnsi="Garamond" w:cs="Garamond" w:eastAsia="Garamond"/>
          <w:spacing w:val="-3"/>
          <w:sz w:val="24"/>
          <w:szCs w:val="24"/>
        </w:rPr>
        <w:t> </w:t>
      </w:r>
      <w:r>
        <w:rPr>
          <w:rFonts w:ascii="Garamond" w:hAnsi="Garamond" w:cs="Garamond" w:eastAsia="Garamond"/>
          <w:spacing w:val="-1"/>
          <w:sz w:val="24"/>
          <w:szCs w:val="24"/>
        </w:rPr>
        <w:t>gospel</w:t>
      </w:r>
      <w:r>
        <w:rPr>
          <w:rFonts w:ascii="Garamond" w:hAnsi="Garamond" w:cs="Garamond" w:eastAsia="Garamond"/>
          <w:spacing w:val="-1"/>
          <w:sz w:val="22"/>
          <w:szCs w:val="22"/>
        </w:rPr>
        <w:t>.”(1 </w:t>
      </w:r>
      <w:r>
        <w:rPr>
          <w:rFonts w:ascii="Garamond" w:hAnsi="Garamond" w:cs="Garamond" w:eastAsia="Garamond"/>
          <w:sz w:val="22"/>
          <w:szCs w:val="22"/>
        </w:rPr>
        <w:t>Peter</w:t>
      </w:r>
      <w:r>
        <w:rPr>
          <w:rFonts w:ascii="Garamond" w:hAnsi="Garamond" w:cs="Garamond" w:eastAsia="Garamond"/>
          <w:spacing w:val="-3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3:18-22)</w:t>
      </w:r>
      <w:r>
        <w:rPr>
          <w:rFonts w:ascii="Garamond" w:hAnsi="Garamond" w:cs="Garamond" w:eastAsia="Garamond"/>
          <w:spacing w:val="27"/>
          <w:w w:val="99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1</w:t>
      </w:r>
      <w:r>
        <w:rPr>
          <w:rFonts w:ascii="Garamond" w:hAnsi="Garamond" w:cs="Garamond" w:eastAsia="Garamond"/>
          <w:spacing w:val="-5"/>
          <w:sz w:val="22"/>
          <w:szCs w:val="22"/>
        </w:rPr>
        <w:t> </w:t>
      </w:r>
      <w:r>
        <w:rPr>
          <w:rFonts w:ascii="Garamond" w:hAnsi="Garamond" w:cs="Garamond" w:eastAsia="Garamond"/>
          <w:sz w:val="22"/>
          <w:szCs w:val="22"/>
        </w:rPr>
        <w:t>Peter</w:t>
      </w:r>
      <w:r>
        <w:rPr>
          <w:rFonts w:ascii="Garamond" w:hAnsi="Garamond" w:cs="Garamond" w:eastAsia="Garamond"/>
          <w:spacing w:val="-6"/>
          <w:sz w:val="22"/>
          <w:szCs w:val="22"/>
        </w:rPr>
        <w:t> </w:t>
      </w:r>
      <w:r>
        <w:rPr>
          <w:rFonts w:ascii="Garamond" w:hAnsi="Garamond" w:cs="Garamond" w:eastAsia="Garamond"/>
          <w:spacing w:val="-1"/>
          <w:sz w:val="22"/>
          <w:szCs w:val="22"/>
        </w:rPr>
        <w:t>2:11</w:t>
      </w:r>
      <w:r>
        <w:rPr>
          <w:rFonts w:ascii="Garamond" w:hAnsi="Garamond" w:cs="Garamond" w:eastAsia="Garamond"/>
          <w:sz w:val="22"/>
          <w:szCs w:val="22"/>
        </w:rPr>
      </w:r>
    </w:p>
    <w:p>
      <w:pPr>
        <w:tabs>
          <w:tab w:pos="2942" w:val="left" w:leader="none"/>
          <w:tab w:pos="4950" w:val="left" w:leader="none"/>
        </w:tabs>
        <w:spacing w:before="25"/>
        <w:ind w:left="105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  <w:t>We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must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be</w:t>
      </w:r>
      <w:r>
        <w:rPr>
          <w:rFonts w:ascii="Garamond"/>
          <w:sz w:val="22"/>
          <w:u w:val="single" w:color="000000"/>
        </w:rPr>
        <w:tab/>
      </w:r>
      <w:r>
        <w:rPr>
          <w:rFonts w:ascii="Garamond"/>
          <w:sz w:val="22"/>
        </w:rPr>
        <w:t>for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z w:val="22"/>
        </w:rPr>
        <w:t>the</w:t>
      </w:r>
      <w:r>
        <w:rPr>
          <w:rFonts w:ascii="Garamond"/>
          <w:sz w:val="22"/>
          <w:u w:val="single" w:color="000000"/>
        </w:rPr>
        <w:tab/>
      </w:r>
      <w:r>
        <w:rPr>
          <w:rFonts w:ascii="Garamond"/>
          <w:sz w:val="22"/>
        </w:rPr>
        <w:t>ahead.</w:t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tabs>
          <w:tab w:pos="3273" w:val="left" w:leader="none"/>
          <w:tab w:pos="5536" w:val="left" w:leader="none"/>
        </w:tabs>
        <w:spacing w:before="149"/>
        <w:ind w:left="105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  <w:t>We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must</w:t>
      </w:r>
      <w:r>
        <w:rPr>
          <w:rFonts w:ascii="Garamond"/>
          <w:spacing w:val="-5"/>
          <w:sz w:val="22"/>
        </w:rPr>
        <w:t> </w:t>
      </w:r>
      <w:r>
        <w:rPr>
          <w:rFonts w:ascii="Garamond"/>
          <w:sz w:val="22"/>
        </w:rPr>
        <w:t>be</w:t>
      </w:r>
      <w:r>
        <w:rPr>
          <w:rFonts w:ascii="Garamond"/>
          <w:sz w:val="22"/>
          <w:u w:val="single" w:color="000000"/>
        </w:rPr>
        <w:tab/>
      </w:r>
      <w:r>
        <w:rPr>
          <w:rFonts w:ascii="Garamond"/>
          <w:sz w:val="22"/>
        </w:rPr>
      </w:r>
      <w:r>
        <w:rPr>
          <w:rFonts w:ascii="Garamond"/>
          <w:w w:val="95"/>
          <w:sz w:val="22"/>
        </w:rPr>
        <w:t>to</w:t>
      </w:r>
      <w:r>
        <w:rPr>
          <w:rFonts w:ascii="Garamond"/>
          <w:w w:val="95"/>
          <w:sz w:val="22"/>
          <w:u w:val="single" w:color="000000"/>
        </w:rPr>
        <w:tab/>
      </w:r>
      <w:r>
        <w:rPr>
          <w:rFonts w:ascii="Garamond"/>
          <w:sz w:val="22"/>
        </w:rPr>
        <w:t>Christ</w:t>
      </w:r>
      <w:r>
        <w:rPr>
          <w:rFonts w:ascii="Garamond"/>
          <w:spacing w:val="-1"/>
          <w:sz w:val="22"/>
        </w:rPr>
        <w:t> </w:t>
      </w:r>
      <w:r>
        <w:rPr>
          <w:rFonts w:ascii="Garamond"/>
          <w:sz w:val="22"/>
        </w:rPr>
        <w:t>at</w:t>
      </w:r>
      <w:r>
        <w:rPr>
          <w:rFonts w:ascii="Garamond"/>
          <w:sz w:val="22"/>
        </w:rPr>
      </w: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99" w:after="0"/>
        <w:ind w:left="419" w:right="0" w:hanging="319"/>
        <w:jc w:val="left"/>
        <w:rPr>
          <w:b w:val="0"/>
          <w:bCs w:val="0"/>
        </w:rPr>
      </w:pPr>
      <w:r>
        <w:rPr/>
        <w:br w:type="column"/>
        <w:t>Our</w:t>
      </w:r>
      <w:r>
        <w:rPr>
          <w:spacing w:val="-6"/>
        </w:rPr>
        <w:t> </w:t>
      </w:r>
      <w:r>
        <w:rPr/>
        <w:t>“Before”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4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“After”</w:t>
      </w:r>
      <w:r>
        <w:rPr>
          <w:spacing w:val="-5"/>
        </w:rPr>
        <w:t> </w:t>
      </w:r>
      <w:r>
        <w:rPr/>
        <w:t>(1</w:t>
      </w:r>
      <w:r>
        <w:rPr>
          <w:spacing w:val="-5"/>
        </w:rPr>
        <w:t> </w:t>
      </w:r>
      <w:r>
        <w:rPr/>
        <w:t>Peter</w:t>
      </w:r>
      <w:r>
        <w:rPr>
          <w:spacing w:val="-5"/>
        </w:rPr>
        <w:t> </w:t>
      </w:r>
      <w:r>
        <w:rPr/>
        <w:t>4:2-3)</w:t>
      </w:r>
      <w:r>
        <w:rPr>
          <w:b w:val="0"/>
          <w:bCs w:val="0"/>
        </w:rPr>
      </w:r>
    </w:p>
    <w:p>
      <w:pPr>
        <w:pStyle w:val="BodyText"/>
        <w:tabs>
          <w:tab w:pos="6192" w:val="left" w:leader="none"/>
        </w:tabs>
        <w:spacing w:line="240" w:lineRule="auto" w:before="120"/>
        <w:ind w:left="0" w:right="256"/>
        <w:jc w:val="center"/>
      </w:pPr>
      <w:r>
        <w:rPr/>
        <w:t>The</w:t>
      </w:r>
      <w:r>
        <w:rPr>
          <w:spacing w:val="-5"/>
        </w:rPr>
        <w:t> </w:t>
      </w:r>
      <w:r>
        <w:rPr/>
        <w:t>“after”</w:t>
      </w:r>
      <w:r>
        <w:rPr>
          <w:spacing w:val="-4"/>
        </w:rPr>
        <w:t> </w:t>
      </w:r>
      <w:r>
        <w:rPr>
          <w:spacing w:val="-1"/>
        </w:rPr>
        <w:t>of</w:t>
      </w:r>
      <w:r>
        <w:rPr>
          <w:spacing w:val="-4"/>
        </w:rPr>
        <w:t> </w:t>
      </w:r>
      <w:r>
        <w:rPr>
          <w:spacing w:val="-1"/>
        </w:rPr>
        <w:t>our</w:t>
      </w:r>
      <w:r>
        <w:rPr>
          <w:spacing w:val="-3"/>
        </w:rPr>
        <w:t> </w:t>
      </w:r>
      <w:r>
        <w:rPr>
          <w:spacing w:val="-1"/>
        </w:rPr>
        <w:t>new</w:t>
      </w:r>
      <w:r>
        <w:rPr>
          <w:spacing w:val="-3"/>
        </w:rPr>
        <w:t> </w:t>
      </w:r>
      <w:r>
        <w:rPr/>
        <w:t>life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defined</w:t>
      </w:r>
      <w:r>
        <w:rPr>
          <w:spacing w:val="-3"/>
        </w:rPr>
        <w:t> </w:t>
      </w:r>
      <w:r>
        <w:rPr>
          <w:spacing w:val="-1"/>
        </w:rPr>
        <w:t>by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1680" w:val="left" w:leader="none"/>
          <w:tab w:pos="3200" w:val="left" w:leader="none"/>
          <w:tab w:pos="4280" w:val="left" w:leader="none"/>
        </w:tabs>
        <w:spacing w:line="240" w:lineRule="auto"/>
        <w:ind w:left="0" w:right="259"/>
        <w:jc w:val="center"/>
      </w:pPr>
      <w:r>
        <w:rPr/>
        <w:pict>
          <v:group style="position:absolute;margin-left:651.667236pt;margin-top:11.541797pt;width:48.05pt;height:.1pt;mso-position-horizontal-relative:page;mso-position-vertical-relative:paragraph;z-index:-3616" coordorigin="13033,231" coordsize="961,2">
            <v:shape style="position:absolute;left:13033;top:231;width:961;height:2" coordorigin="13033,231" coordsize="961,0" path="m13033,231l13994,231e" filled="false" stroked="true" strokeweight=".6pt" strokecolor="#000000">
              <v:path arrowok="t"/>
            </v:shape>
            <w10:wrap type="none"/>
          </v:group>
        </w:pict>
      </w: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</w:rPr>
        <w:t>of</w:t>
      </w:r>
      <w:r>
        <w:rPr>
          <w:spacing w:val="-1"/>
          <w:u w:val="single" w:color="000000"/>
        </w:rPr>
        <w:tab/>
      </w:r>
      <w:r>
        <w:rPr>
          <w:spacing w:val="-1"/>
        </w:rPr>
        <w:tab/>
      </w:r>
      <w:r>
        <w:rPr/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tabs>
          <w:tab w:pos="2159" w:val="left" w:leader="none"/>
        </w:tabs>
        <w:spacing w:line="240" w:lineRule="auto"/>
        <w:ind w:left="0" w:right="257"/>
        <w:jc w:val="center"/>
      </w:pPr>
      <w:r>
        <w:rPr>
          <w:spacing w:val="-1"/>
        </w:rPr>
        <w:t>Romans</w:t>
      </w:r>
      <w:r>
        <w:rPr>
          <w:spacing w:val="-5"/>
        </w:rPr>
        <w:t> </w:t>
      </w:r>
      <w:r>
        <w:rPr/>
        <w:t>12:2</w:t>
        <w:tab/>
      </w:r>
      <w:r>
        <w:rPr>
          <w:spacing w:val="-1"/>
        </w:rPr>
        <w:t>Romans</w:t>
      </w:r>
      <w:r>
        <w:rPr>
          <w:spacing w:val="-8"/>
        </w:rPr>
        <w:t> </w:t>
      </w:r>
      <w:r>
        <w:rPr/>
        <w:t>1:28-32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28"/>
          <w:szCs w:val="28"/>
        </w:rPr>
      </w:pPr>
    </w:p>
    <w:p>
      <w:pPr>
        <w:pStyle w:val="Heading1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4" w:right="0" w:hanging="414"/>
        <w:jc w:val="left"/>
        <w:rPr>
          <w:b w:val="0"/>
          <w:bCs w:val="0"/>
        </w:rPr>
      </w:pPr>
      <w:r>
        <w:rPr/>
        <w:t>The</w:t>
      </w:r>
      <w:r>
        <w:rPr>
          <w:spacing w:val="-7"/>
        </w:rPr>
        <w:t> </w:t>
      </w:r>
      <w:r>
        <w:rPr>
          <w:spacing w:val="-1"/>
        </w:rPr>
        <w:t>“Gentiles”</w:t>
      </w:r>
      <w:r>
        <w:rPr>
          <w:spacing w:val="-6"/>
        </w:rPr>
        <w:t> </w:t>
      </w:r>
      <w:r>
        <w:rPr/>
        <w:t>(1</w:t>
      </w:r>
      <w:r>
        <w:rPr>
          <w:spacing w:val="-6"/>
        </w:rPr>
        <w:t> </w:t>
      </w:r>
      <w:r>
        <w:rPr/>
        <w:t>Peter</w:t>
      </w:r>
      <w:r>
        <w:rPr>
          <w:spacing w:val="-6"/>
        </w:rPr>
        <w:t> </w:t>
      </w:r>
      <w:r>
        <w:rPr/>
        <w:t>4:4-6)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240" w:lineRule="auto" w:before="119" w:after="0"/>
        <w:ind w:left="820" w:right="0" w:hanging="360"/>
        <w:jc w:val="left"/>
      </w:pPr>
      <w:r>
        <w:rPr/>
        <w:t>“Floods</w:t>
      </w:r>
      <w:r>
        <w:rPr>
          <w:spacing w:val="-9"/>
        </w:rPr>
        <w:t> </w:t>
      </w:r>
      <w:r>
        <w:rPr>
          <w:spacing w:val="-1"/>
        </w:rPr>
        <w:t>of</w:t>
      </w:r>
      <w:r>
        <w:rPr>
          <w:spacing w:val="-8"/>
        </w:rPr>
        <w:t> </w:t>
      </w:r>
      <w:r>
        <w:rPr/>
        <w:t>debaucher”</w:t>
      </w:r>
      <w:r>
        <w:rPr>
          <w:spacing w:val="-8"/>
        </w:rPr>
        <w:t> </w:t>
      </w:r>
      <w:r>
        <w:rPr/>
        <w:t>(ESV)</w:t>
      </w:r>
      <w:r>
        <w:rPr/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240" w:lineRule="auto" w:before="0" w:after="0"/>
        <w:ind w:left="820" w:right="0" w:hanging="360"/>
        <w:jc w:val="left"/>
      </w:pPr>
      <w:r>
        <w:rPr/>
        <w:t>“Floods</w:t>
      </w:r>
      <w:r>
        <w:rPr>
          <w:spacing w:val="-8"/>
        </w:rPr>
        <w:t> </w:t>
      </w:r>
      <w:r>
        <w:rPr>
          <w:spacing w:val="-1"/>
        </w:rPr>
        <w:t>of</w:t>
      </w:r>
      <w:r>
        <w:rPr>
          <w:spacing w:val="-6"/>
        </w:rPr>
        <w:t> </w:t>
      </w:r>
      <w:r>
        <w:rPr/>
        <w:t>wild</w:t>
      </w:r>
      <w:r>
        <w:rPr>
          <w:spacing w:val="-8"/>
        </w:rPr>
        <w:t> </w:t>
      </w:r>
      <w:r>
        <w:rPr/>
        <w:t>living”</w:t>
      </w:r>
      <w:r>
        <w:rPr>
          <w:spacing w:val="-7"/>
        </w:rPr>
        <w:t> </w:t>
      </w:r>
      <w:r>
        <w:rPr>
          <w:spacing w:val="-2"/>
        </w:rPr>
        <w:t>(HCSB)</w:t>
      </w:r>
      <w:r>
        <w:rPr/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304" w:lineRule="exact" w:before="0" w:after="0"/>
        <w:ind w:left="820" w:right="0" w:hanging="360"/>
        <w:jc w:val="left"/>
      </w:pPr>
      <w:r>
        <w:rPr/>
        <w:t>“Reckless</w:t>
      </w:r>
      <w:r>
        <w:rPr>
          <w:spacing w:val="-8"/>
        </w:rPr>
        <w:t> </w:t>
      </w:r>
      <w:r>
        <w:rPr>
          <w:spacing w:val="-1"/>
        </w:rPr>
        <w:t>and</w:t>
      </w:r>
      <w:r>
        <w:rPr>
          <w:spacing w:val="-6"/>
        </w:rPr>
        <w:t> </w:t>
      </w:r>
      <w:r>
        <w:rPr/>
        <w:t>wild</w:t>
      </w:r>
      <w:r>
        <w:rPr>
          <w:spacing w:val="-7"/>
        </w:rPr>
        <w:t> </w:t>
      </w:r>
      <w:r>
        <w:rPr/>
        <w:t>living”</w:t>
      </w:r>
      <w:r>
        <w:rPr>
          <w:spacing w:val="-6"/>
        </w:rPr>
        <w:t> </w:t>
      </w:r>
      <w:r>
        <w:rPr/>
        <w:t>(NIV)</w:t>
      </w:r>
      <w:r>
        <w:rPr/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304" w:lineRule="exact" w:before="0" w:after="0"/>
        <w:ind w:left="820" w:right="0" w:hanging="360"/>
        <w:jc w:val="left"/>
      </w:pPr>
      <w:r>
        <w:rPr/>
        <w:t>“Excesses</w:t>
      </w:r>
      <w:r>
        <w:rPr>
          <w:spacing w:val="-11"/>
        </w:rPr>
        <w:t> </w:t>
      </w:r>
      <w:r>
        <w:rPr>
          <w:spacing w:val="-1"/>
        </w:rPr>
        <w:t>of</w:t>
      </w:r>
      <w:r>
        <w:rPr>
          <w:spacing w:val="-9"/>
        </w:rPr>
        <w:t> </w:t>
      </w:r>
      <w:r>
        <w:rPr/>
        <w:t>dissipation”</w:t>
      </w:r>
      <w:r>
        <w:rPr>
          <w:spacing w:val="-9"/>
        </w:rPr>
        <w:t> </w:t>
      </w:r>
      <w:r>
        <w:rPr/>
        <w:t>(NASB)</w:t>
      </w:r>
      <w:r>
        <w:rPr/>
      </w:r>
    </w:p>
    <w:p>
      <w:pPr>
        <w:pStyle w:val="BodyText"/>
        <w:numPr>
          <w:ilvl w:val="1"/>
          <w:numId w:val="1"/>
        </w:numPr>
        <w:tabs>
          <w:tab w:pos="820" w:val="left" w:leader="none"/>
        </w:tabs>
        <w:spacing w:line="240" w:lineRule="auto" w:before="0" w:after="0"/>
        <w:ind w:left="820" w:right="0" w:hanging="360"/>
        <w:jc w:val="left"/>
      </w:pPr>
      <w:r>
        <w:rPr/>
        <w:t>“Wild</w:t>
      </w:r>
      <w:r>
        <w:rPr>
          <w:spacing w:val="-10"/>
        </w:rPr>
        <w:t> </w:t>
      </w:r>
      <w:r>
        <w:rPr/>
        <w:t>Profligacy”</w:t>
      </w:r>
      <w:r>
        <w:rPr>
          <w:spacing w:val="-11"/>
        </w:rPr>
        <w:t> </w:t>
      </w:r>
      <w:r>
        <w:rPr/>
        <w:t>(RSV)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2432" w:val="left" w:leader="none"/>
          <w:tab w:pos="4891" w:val="left" w:leader="none"/>
        </w:tabs>
        <w:spacing w:line="240" w:lineRule="auto" w:before="201"/>
        <w:ind w:left="187" w:right="0"/>
        <w:jc w:val="left"/>
      </w:pPr>
      <w:r>
        <w:rPr/>
        <w:t>Our</w:t>
      </w:r>
      <w:r>
        <w:rPr>
          <w:spacing w:val="-1"/>
        </w:rPr>
        <w:t> “before”</w:t>
      </w:r>
      <w:r>
        <w:rPr/>
        <w:t> is</w:t>
      </w:r>
      <w:r>
        <w:rPr>
          <w:u w:val="single" w:color="000000"/>
        </w:rPr>
        <w:tab/>
      </w:r>
      <w:r>
        <w:rPr/>
      </w:r>
      <w:r>
        <w:rPr>
          <w:u w:val="single" w:color="000000"/>
        </w:rPr>
        <w:tab/>
      </w:r>
      <w:r>
        <w:rPr/>
      </w:r>
      <w:r>
        <w:rPr/>
        <w:t>with</w:t>
      </w:r>
      <w:r>
        <w:rPr>
          <w:spacing w:val="-1"/>
        </w:rPr>
        <w:t> our</w:t>
      </w:r>
      <w:r>
        <w:rPr>
          <w:spacing w:val="-7"/>
        </w:rPr>
        <w:t> </w:t>
      </w:r>
      <w:r>
        <w:rPr/>
        <w:t>“after”.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21"/>
          <w:szCs w:val="21"/>
        </w:rPr>
      </w:pPr>
    </w:p>
    <w:p>
      <w:pPr>
        <w:spacing w:after="0" w:line="240" w:lineRule="auto"/>
        <w:rPr>
          <w:rFonts w:ascii="Garamond" w:hAnsi="Garamond" w:cs="Garamond" w:eastAsia="Garamond"/>
          <w:sz w:val="21"/>
          <w:szCs w:val="21"/>
        </w:rPr>
        <w:sectPr>
          <w:type w:val="continuous"/>
          <w:pgSz w:w="15840" w:h="12240" w:orient="landscape"/>
          <w:pgMar w:top="620" w:bottom="0" w:left="620" w:right="360"/>
        </w:sectPr>
      </w:pPr>
    </w:p>
    <w:p>
      <w:pPr>
        <w:tabs>
          <w:tab w:pos="4141" w:val="left" w:leader="none"/>
        </w:tabs>
        <w:spacing w:before="78"/>
        <w:ind w:left="3260" w:right="0" w:firstLine="0"/>
        <w:jc w:val="left"/>
        <w:rPr>
          <w:rFonts w:ascii="Garamond" w:hAnsi="Garamond" w:cs="Garamond" w:eastAsia="Garamond"/>
          <w:sz w:val="22"/>
          <w:szCs w:val="22"/>
        </w:rPr>
      </w:pPr>
      <w:r>
        <w:rPr/>
        <w:pict>
          <v:group style="position:absolute;margin-left:155.519470pt;margin-top:14.480041pt;width:33.1pt;height:.1pt;mso-position-horizontal-relative:page;mso-position-vertical-relative:paragraph;z-index:1096" coordorigin="3110,290" coordsize="662,2">
            <v:shape style="position:absolute;left:3110;top:290;width:662;height:2" coordorigin="3110,290" coordsize="662,0" path="m3110,290l3772,290e" filled="false" stroked="true" strokeweight=".55003pt" strokecolor="#000000">
              <v:path arrowok="t"/>
            </v:shape>
            <w10:wrap type="none"/>
          </v:group>
        </w:pict>
      </w:r>
      <w:r>
        <w:rPr>
          <w:rFonts w:ascii="Garamond"/>
          <w:sz w:val="22"/>
        </w:rPr>
      </w:r>
      <w:r>
        <w:rPr>
          <w:rFonts w:ascii="Garamond"/>
          <w:sz w:val="22"/>
          <w:u w:val="single" w:color="000000"/>
        </w:rPr>
        <w:t> </w:t>
        <w:tab/>
      </w:r>
      <w:r>
        <w:rPr>
          <w:rFonts w:ascii="Garamond"/>
          <w:sz w:val="22"/>
        </w:rPr>
      </w:r>
      <w:r>
        <w:rPr>
          <w:rFonts w:ascii="Garamond"/>
          <w:sz w:val="22"/>
        </w:rPr>
        <w:t>.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11"/>
        <w:rPr>
          <w:rFonts w:ascii="Garamond" w:hAnsi="Garamond" w:cs="Garamond" w:eastAsia="Garamond"/>
          <w:sz w:val="31"/>
          <w:szCs w:val="31"/>
        </w:rPr>
      </w:pPr>
    </w:p>
    <w:p>
      <w:pPr>
        <w:tabs>
          <w:tab w:pos="1851" w:val="left" w:leader="none"/>
          <w:tab w:pos="3291" w:val="left" w:leader="none"/>
        </w:tabs>
        <w:spacing w:before="0"/>
        <w:ind w:left="410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  <w:t>Luke</w:t>
      </w:r>
      <w:r>
        <w:rPr>
          <w:rFonts w:ascii="Garamond"/>
          <w:spacing w:val="-9"/>
          <w:sz w:val="22"/>
        </w:rPr>
        <w:t> </w:t>
      </w:r>
      <w:r>
        <w:rPr>
          <w:rFonts w:ascii="Garamond"/>
          <w:sz w:val="22"/>
        </w:rPr>
        <w:t>14:27</w:t>
        <w:tab/>
        <w:t>Luke</w:t>
      </w:r>
      <w:r>
        <w:rPr>
          <w:rFonts w:ascii="Garamond"/>
          <w:spacing w:val="-8"/>
          <w:sz w:val="22"/>
        </w:rPr>
        <w:t> </w:t>
      </w:r>
      <w:r>
        <w:rPr>
          <w:rFonts w:ascii="Garamond"/>
          <w:sz w:val="22"/>
        </w:rPr>
        <w:t>9:51</w:t>
        <w:tab/>
        <w:t>Romans</w:t>
      </w:r>
      <w:r>
        <w:rPr>
          <w:rFonts w:ascii="Garamond"/>
          <w:spacing w:val="-7"/>
          <w:sz w:val="22"/>
        </w:rPr>
        <w:t> </w:t>
      </w:r>
      <w:r>
        <w:rPr>
          <w:rFonts w:ascii="Garamond"/>
          <w:sz w:val="22"/>
        </w:rPr>
        <w:t>6:10-14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pStyle w:val="BodyText"/>
        <w:spacing w:line="276" w:lineRule="auto"/>
        <w:ind w:left="410" w:right="0"/>
        <w:jc w:val="center"/>
      </w:pPr>
      <w:r>
        <w:rPr>
          <w:spacing w:val="-1"/>
        </w:rPr>
        <w:t>“The Christian</w:t>
      </w:r>
      <w:r>
        <w:rPr/>
        <w:t> </w:t>
      </w:r>
      <w:r>
        <w:rPr>
          <w:spacing w:val="-1"/>
        </w:rPr>
        <w:t>life</w:t>
      </w:r>
      <w:r>
        <w:rPr/>
        <w:t> </w:t>
      </w:r>
      <w:r>
        <w:rPr>
          <w:spacing w:val="-1"/>
        </w:rPr>
        <w:t>is not</w:t>
      </w:r>
      <w:r>
        <w:rPr/>
        <w:t> </w:t>
      </w:r>
      <w:r>
        <w:rPr>
          <w:spacing w:val="-1"/>
        </w:rPr>
        <w:t>marked by</w:t>
      </w:r>
      <w:r>
        <w:rPr/>
        <w:t> </w:t>
      </w:r>
      <w:r>
        <w:rPr>
          <w:spacing w:val="-1"/>
        </w:rPr>
        <w:t>perfection.</w:t>
      </w:r>
      <w:r>
        <w:rPr>
          <w:spacing w:val="1"/>
        </w:rPr>
        <w:t> </w:t>
      </w:r>
      <w:r>
        <w:rPr>
          <w:spacing w:val="-1"/>
        </w:rPr>
        <w:t>It is marked by</w:t>
      </w:r>
      <w:r>
        <w:rPr>
          <w:spacing w:val="22"/>
        </w:rPr>
        <w:t> </w:t>
      </w:r>
      <w:r>
        <w:rPr>
          <w:spacing w:val="-1"/>
        </w:rPr>
        <w:t>repentance.”</w:t>
      </w:r>
      <w:r>
        <w:rPr>
          <w:spacing w:val="2"/>
        </w:rPr>
        <w:t> </w:t>
      </w:r>
      <w:r>
        <w:rPr/>
        <w:t>(1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3:8-12)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3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410" w:right="0"/>
        <w:jc w:val="left"/>
      </w:pPr>
      <w:r>
        <w:rPr>
          <w:spacing w:val="-1"/>
        </w:rPr>
        <w:t>Notes:</w:t>
      </w:r>
      <w:r>
        <w:rPr/>
      </w:r>
    </w:p>
    <w:p>
      <w:pPr>
        <w:spacing w:line="240" w:lineRule="auto" w:before="9"/>
        <w:rPr>
          <w:rFonts w:ascii="Garamond" w:hAnsi="Garamond" w:cs="Garamond" w:eastAsia="Garamond"/>
          <w:sz w:val="23"/>
          <w:szCs w:val="23"/>
        </w:rPr>
      </w:pPr>
      <w:r>
        <w:rPr/>
        <w:br w:type="column"/>
      </w:r>
      <w:r>
        <w:rPr>
          <w:rFonts w:ascii="Garamond"/>
          <w:sz w:val="23"/>
        </w:rPr>
      </w:r>
    </w:p>
    <w:p>
      <w:pPr>
        <w:pStyle w:val="BodyText"/>
        <w:spacing w:line="240" w:lineRule="auto"/>
        <w:ind w:left="410" w:right="0"/>
        <w:jc w:val="left"/>
      </w:pPr>
      <w:r>
        <w:rPr/>
        <w:t>Proverbs</w:t>
      </w:r>
      <w:r>
        <w:rPr>
          <w:spacing w:val="-8"/>
        </w:rPr>
        <w:t> </w:t>
      </w:r>
      <w:r>
        <w:rPr/>
        <w:t>24:16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3" w:equalWidth="0">
            <w:col w:w="6270" w:space="1339"/>
            <w:col w:w="1028" w:space="1512"/>
            <w:col w:w="4711"/>
          </w:cols>
        </w:sect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sz w:val="20"/>
          <w:szCs w:val="20"/>
        </w:rPr>
      </w:pPr>
    </w:p>
    <w:p>
      <w:pPr>
        <w:spacing w:line="240" w:lineRule="auto" w:before="11"/>
        <w:rPr>
          <w:rFonts w:ascii="Garamond" w:hAnsi="Garamond" w:cs="Garamond" w:eastAsia="Garamond"/>
          <w:sz w:val="23"/>
          <w:szCs w:val="23"/>
        </w:rPr>
      </w:pPr>
    </w:p>
    <w:p>
      <w:pPr>
        <w:spacing w:before="81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7.40816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Lt BT">
    <w:altName w:val="BankGothic Lt BT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BankGothic Md BT">
    <w:altName w:val="BankGothic Md B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"/>
      <w:lvlJc w:val="left"/>
      <w:pPr>
        <w:ind w:left="820" w:hanging="360"/>
      </w:pPr>
      <w:rPr>
        <w:rFonts w:hint="default" w:ascii="Symbol" w:hAnsi="Symbol" w:eastAsia="Symbol"/>
        <w:sz w:val="24"/>
        <w:szCs w:val="24"/>
      </w:rPr>
    </w:lvl>
    <w:lvl w:ilvl="2">
      <w:start w:val="1"/>
      <w:numFmt w:val="bullet"/>
      <w:lvlText w:val="•"/>
      <w:lvlJc w:val="left"/>
      <w:pPr>
        <w:ind w:left="57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4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38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62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865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32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- 06-28-26_Sermon Notes (Master)</dc:title>
  <dcterms:created xsi:type="dcterms:W3CDTF">2026-06-26T15:38:17Z</dcterms:created>
  <dcterms:modified xsi:type="dcterms:W3CDTF">2026-06-26T15:38:17Z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LastSaved">
    <vt:filetime>2026-06-26T00:00:00Z</vt:filetime>
  </property>
</Properties>
</file>